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6F6" w:rsidRDefault="007E6236" w:rsidP="007E6236">
      <w:pPr>
        <w:jc w:val="center"/>
        <w:rPr>
          <w:sz w:val="40"/>
          <w:szCs w:val="40"/>
        </w:rPr>
      </w:pPr>
      <w:r w:rsidRPr="007E6236">
        <w:rPr>
          <w:rFonts w:hint="eastAsia"/>
          <w:sz w:val="40"/>
          <w:szCs w:val="40"/>
        </w:rPr>
        <w:t>地域学校協働活動チェックリスト</w:t>
      </w:r>
    </w:p>
    <w:tbl>
      <w:tblPr>
        <w:tblStyle w:val="a3"/>
        <w:tblW w:w="0" w:type="auto"/>
        <w:tblLook w:val="04A0" w:firstRow="1" w:lastRow="0" w:firstColumn="1" w:lastColumn="0" w:noHBand="0" w:noVBand="1"/>
      </w:tblPr>
      <w:tblGrid>
        <w:gridCol w:w="456"/>
        <w:gridCol w:w="7338"/>
        <w:gridCol w:w="700"/>
      </w:tblGrid>
      <w:tr w:rsidR="00D77B65" w:rsidTr="00D77B65">
        <w:tc>
          <w:tcPr>
            <w:tcW w:w="456" w:type="dxa"/>
            <w:shd w:val="clear" w:color="auto" w:fill="1F4E79" w:themeFill="accent1" w:themeFillShade="80"/>
          </w:tcPr>
          <w:p w:rsidR="007E6236" w:rsidRDefault="007E6236"/>
        </w:tc>
        <w:tc>
          <w:tcPr>
            <w:tcW w:w="7338" w:type="dxa"/>
            <w:shd w:val="clear" w:color="auto" w:fill="1F4E79" w:themeFill="accent1" w:themeFillShade="80"/>
          </w:tcPr>
          <w:p w:rsidR="007E6236" w:rsidRPr="007E6236" w:rsidRDefault="007E6236" w:rsidP="007E6236">
            <w:pPr>
              <w:jc w:val="center"/>
              <w:rPr>
                <w:sz w:val="32"/>
                <w:szCs w:val="32"/>
              </w:rPr>
            </w:pPr>
            <w:r w:rsidRPr="00D77B65">
              <w:rPr>
                <w:rFonts w:hint="eastAsia"/>
                <w:color w:val="FFFFFF" w:themeColor="background1"/>
                <w:sz w:val="32"/>
                <w:szCs w:val="32"/>
              </w:rPr>
              <w:t>チェック項目</w:t>
            </w:r>
          </w:p>
        </w:tc>
        <w:tc>
          <w:tcPr>
            <w:tcW w:w="700" w:type="dxa"/>
            <w:shd w:val="clear" w:color="auto" w:fill="1F4E79" w:themeFill="accent1" w:themeFillShade="80"/>
          </w:tcPr>
          <w:p w:rsidR="007E6236" w:rsidRDefault="007E6236"/>
        </w:tc>
      </w:tr>
      <w:tr w:rsidR="00D77B65" w:rsidTr="00E424EB">
        <w:tc>
          <w:tcPr>
            <w:tcW w:w="456" w:type="dxa"/>
            <w:shd w:val="clear" w:color="auto" w:fill="DEEAF6" w:themeFill="accent1" w:themeFillTint="33"/>
          </w:tcPr>
          <w:p w:rsidR="007E6236" w:rsidRPr="007E6236" w:rsidRDefault="007E6236">
            <w:pPr>
              <w:rPr>
                <w:sz w:val="24"/>
                <w:szCs w:val="24"/>
              </w:rPr>
            </w:pPr>
            <w:r w:rsidRPr="007E6236">
              <w:rPr>
                <w:rFonts w:hint="eastAsia"/>
                <w:sz w:val="24"/>
                <w:szCs w:val="24"/>
              </w:rPr>
              <w:t>①</w:t>
            </w:r>
          </w:p>
        </w:tc>
        <w:tc>
          <w:tcPr>
            <w:tcW w:w="7338" w:type="dxa"/>
            <w:shd w:val="clear" w:color="auto" w:fill="DEEAF6" w:themeFill="accent1" w:themeFillTint="33"/>
            <w:vAlign w:val="center"/>
          </w:tcPr>
          <w:p w:rsidR="007E6236" w:rsidRPr="007E6236" w:rsidRDefault="007E6236">
            <w:pPr>
              <w:rPr>
                <w:sz w:val="24"/>
                <w:szCs w:val="24"/>
              </w:rPr>
            </w:pPr>
            <w:r w:rsidRPr="00690CF5">
              <w:rPr>
                <w:rFonts w:ascii="Calibri" w:eastAsia="ＭＳ Ｐゴシック" w:hAnsi="Arial" w:cs="Arial"/>
                <w:color w:val="000000" w:themeColor="dark1"/>
                <w:kern w:val="24"/>
                <w:sz w:val="24"/>
                <w:szCs w:val="24"/>
              </w:rPr>
              <w:t>地域連携協働活動の全体計画が作成されている。</w:t>
            </w:r>
          </w:p>
        </w:tc>
        <w:tc>
          <w:tcPr>
            <w:tcW w:w="700" w:type="dxa"/>
            <w:shd w:val="clear" w:color="auto" w:fill="DEEAF6" w:themeFill="accent1" w:themeFillTint="33"/>
          </w:tcPr>
          <w:p w:rsidR="007E6236" w:rsidRDefault="007E6236"/>
        </w:tc>
      </w:tr>
      <w:tr w:rsidR="007E6236" w:rsidTr="007E6236">
        <w:tc>
          <w:tcPr>
            <w:tcW w:w="456" w:type="dxa"/>
          </w:tcPr>
          <w:p w:rsidR="007E6236" w:rsidRPr="007E6236" w:rsidRDefault="007E6236">
            <w:pPr>
              <w:rPr>
                <w:sz w:val="24"/>
                <w:szCs w:val="24"/>
              </w:rPr>
            </w:pPr>
            <w:r w:rsidRPr="007E6236">
              <w:rPr>
                <w:rFonts w:hint="eastAsia"/>
                <w:sz w:val="24"/>
                <w:szCs w:val="24"/>
              </w:rPr>
              <w:t>②</w:t>
            </w:r>
          </w:p>
        </w:tc>
        <w:tc>
          <w:tcPr>
            <w:tcW w:w="7338" w:type="dxa"/>
          </w:tcPr>
          <w:p w:rsidR="007E6236" w:rsidRPr="007E6236" w:rsidRDefault="007E6236">
            <w:pPr>
              <w:rPr>
                <w:sz w:val="24"/>
                <w:szCs w:val="24"/>
              </w:rPr>
            </w:pPr>
            <w:r w:rsidRPr="00690CF5">
              <w:rPr>
                <w:rFonts w:ascii="Calibri" w:eastAsia="ＭＳ Ｐゴシック" w:hAnsi="Arial" w:cs="Arial"/>
                <w:color w:val="000000" w:themeColor="dark1"/>
                <w:kern w:val="24"/>
                <w:sz w:val="24"/>
                <w:szCs w:val="24"/>
              </w:rPr>
              <w:t>教職員が地域連携協働活動の意義や内容について共通理解が図られている。</w:t>
            </w:r>
          </w:p>
        </w:tc>
        <w:tc>
          <w:tcPr>
            <w:tcW w:w="700" w:type="dxa"/>
          </w:tcPr>
          <w:p w:rsidR="007E6236" w:rsidRDefault="007E6236"/>
        </w:tc>
      </w:tr>
      <w:tr w:rsidR="00D77B65" w:rsidTr="00E424EB">
        <w:tc>
          <w:tcPr>
            <w:tcW w:w="456" w:type="dxa"/>
            <w:shd w:val="clear" w:color="auto" w:fill="DEEAF6" w:themeFill="accent1" w:themeFillTint="33"/>
          </w:tcPr>
          <w:p w:rsidR="007E6236" w:rsidRPr="007E6236" w:rsidRDefault="007E6236">
            <w:pPr>
              <w:rPr>
                <w:sz w:val="24"/>
                <w:szCs w:val="24"/>
              </w:rPr>
            </w:pPr>
            <w:r w:rsidRPr="007E6236">
              <w:rPr>
                <w:rFonts w:hint="eastAsia"/>
                <w:sz w:val="24"/>
                <w:szCs w:val="24"/>
              </w:rPr>
              <w:t>③</w:t>
            </w:r>
          </w:p>
        </w:tc>
        <w:tc>
          <w:tcPr>
            <w:tcW w:w="7338" w:type="dxa"/>
            <w:shd w:val="clear" w:color="auto" w:fill="DEEAF6" w:themeFill="accent1" w:themeFillTint="33"/>
            <w:vAlign w:val="center"/>
          </w:tcPr>
          <w:p w:rsidR="007E6236" w:rsidRPr="007E6236" w:rsidRDefault="007E6236">
            <w:pPr>
              <w:rPr>
                <w:sz w:val="24"/>
                <w:szCs w:val="24"/>
              </w:rPr>
            </w:pPr>
            <w:r w:rsidRPr="00690CF5">
              <w:rPr>
                <w:rFonts w:ascii="Calibri" w:eastAsia="ＭＳ Ｐゴシック" w:hAnsi="Arial" w:cs="Arial"/>
                <w:color w:val="000000" w:themeColor="dark1"/>
                <w:kern w:val="24"/>
                <w:sz w:val="24"/>
                <w:szCs w:val="24"/>
              </w:rPr>
              <w:t>教職員のニーズを把握し、年間活動計画が作成されている。</w:t>
            </w:r>
          </w:p>
        </w:tc>
        <w:tc>
          <w:tcPr>
            <w:tcW w:w="700" w:type="dxa"/>
            <w:shd w:val="clear" w:color="auto" w:fill="DEEAF6" w:themeFill="accent1" w:themeFillTint="33"/>
          </w:tcPr>
          <w:p w:rsidR="007E6236" w:rsidRDefault="007E6236"/>
        </w:tc>
      </w:tr>
      <w:tr w:rsidR="007E6236" w:rsidTr="00E424EB">
        <w:tc>
          <w:tcPr>
            <w:tcW w:w="456" w:type="dxa"/>
          </w:tcPr>
          <w:p w:rsidR="007E6236" w:rsidRPr="007E6236" w:rsidRDefault="007E6236">
            <w:pPr>
              <w:rPr>
                <w:sz w:val="24"/>
                <w:szCs w:val="24"/>
              </w:rPr>
            </w:pPr>
            <w:r w:rsidRPr="007E6236">
              <w:rPr>
                <w:rFonts w:hint="eastAsia"/>
                <w:sz w:val="24"/>
                <w:szCs w:val="24"/>
              </w:rPr>
              <w:t>④</w:t>
            </w:r>
          </w:p>
        </w:tc>
        <w:tc>
          <w:tcPr>
            <w:tcW w:w="7338" w:type="dxa"/>
            <w:vAlign w:val="center"/>
          </w:tcPr>
          <w:p w:rsidR="007E6236" w:rsidRPr="007E6236" w:rsidRDefault="007E6236">
            <w:pPr>
              <w:rPr>
                <w:sz w:val="24"/>
                <w:szCs w:val="24"/>
              </w:rPr>
            </w:pPr>
            <w:r w:rsidRPr="00690CF5">
              <w:rPr>
                <w:rFonts w:ascii="Calibri" w:eastAsia="ＭＳ Ｐゴシック" w:hAnsi="Arial" w:cs="Arial"/>
                <w:color w:val="000000" w:themeColor="dark1"/>
                <w:kern w:val="24"/>
                <w:sz w:val="24"/>
                <w:szCs w:val="24"/>
              </w:rPr>
              <w:t>地域コーディネーターとの話し合いや情報共有がなされている。</w:t>
            </w:r>
          </w:p>
        </w:tc>
        <w:tc>
          <w:tcPr>
            <w:tcW w:w="700" w:type="dxa"/>
          </w:tcPr>
          <w:p w:rsidR="007E6236" w:rsidRDefault="007E6236"/>
        </w:tc>
      </w:tr>
      <w:tr w:rsidR="00D77B65" w:rsidTr="00E424EB">
        <w:tc>
          <w:tcPr>
            <w:tcW w:w="456" w:type="dxa"/>
            <w:shd w:val="clear" w:color="auto" w:fill="DEEAF6" w:themeFill="accent1" w:themeFillTint="33"/>
          </w:tcPr>
          <w:p w:rsidR="007E6236" w:rsidRPr="007E6236" w:rsidRDefault="007E6236">
            <w:pPr>
              <w:rPr>
                <w:sz w:val="24"/>
                <w:szCs w:val="24"/>
              </w:rPr>
            </w:pPr>
            <w:r w:rsidRPr="007E6236">
              <w:rPr>
                <w:rFonts w:hint="eastAsia"/>
                <w:sz w:val="24"/>
                <w:szCs w:val="24"/>
              </w:rPr>
              <w:t>⑤</w:t>
            </w:r>
          </w:p>
        </w:tc>
        <w:tc>
          <w:tcPr>
            <w:tcW w:w="7338" w:type="dxa"/>
            <w:shd w:val="clear" w:color="auto" w:fill="DEEAF6" w:themeFill="accent1" w:themeFillTint="33"/>
            <w:vAlign w:val="center"/>
          </w:tcPr>
          <w:p w:rsidR="007E6236" w:rsidRPr="007E6236" w:rsidRDefault="007E6236">
            <w:pPr>
              <w:rPr>
                <w:sz w:val="24"/>
                <w:szCs w:val="24"/>
              </w:rPr>
            </w:pPr>
            <w:r w:rsidRPr="00690CF5">
              <w:rPr>
                <w:rFonts w:ascii="Calibri" w:eastAsia="ＭＳ Ｐゴシック" w:hAnsi="Arial" w:cs="Arial"/>
                <w:color w:val="000000" w:themeColor="dark1"/>
                <w:kern w:val="24"/>
                <w:sz w:val="24"/>
                <w:szCs w:val="24"/>
              </w:rPr>
              <w:t>チーム体制や活動環境（ボランティア室等）が整備されている。</w:t>
            </w:r>
          </w:p>
        </w:tc>
        <w:tc>
          <w:tcPr>
            <w:tcW w:w="700" w:type="dxa"/>
            <w:shd w:val="clear" w:color="auto" w:fill="DEEAF6" w:themeFill="accent1" w:themeFillTint="33"/>
          </w:tcPr>
          <w:p w:rsidR="007E6236" w:rsidRDefault="007E6236"/>
        </w:tc>
      </w:tr>
      <w:tr w:rsidR="007E6236" w:rsidTr="007E6236">
        <w:tc>
          <w:tcPr>
            <w:tcW w:w="456" w:type="dxa"/>
          </w:tcPr>
          <w:p w:rsidR="007E6236" w:rsidRPr="007E6236" w:rsidRDefault="007E6236">
            <w:pPr>
              <w:rPr>
                <w:sz w:val="24"/>
                <w:szCs w:val="24"/>
              </w:rPr>
            </w:pPr>
            <w:r w:rsidRPr="007E6236">
              <w:rPr>
                <w:rFonts w:hint="eastAsia"/>
                <w:sz w:val="24"/>
                <w:szCs w:val="24"/>
              </w:rPr>
              <w:t>⑥</w:t>
            </w:r>
          </w:p>
        </w:tc>
        <w:tc>
          <w:tcPr>
            <w:tcW w:w="7338" w:type="dxa"/>
          </w:tcPr>
          <w:p w:rsidR="007E6236" w:rsidRPr="007E6236" w:rsidRDefault="007E6236">
            <w:pPr>
              <w:rPr>
                <w:sz w:val="24"/>
                <w:szCs w:val="24"/>
              </w:rPr>
            </w:pPr>
            <w:r w:rsidRPr="00690CF5">
              <w:rPr>
                <w:rFonts w:ascii="Calibri" w:eastAsia="ＭＳ Ｐゴシック" w:hAnsi="Arial" w:cs="Arial"/>
                <w:color w:val="000000" w:themeColor="dark1"/>
                <w:kern w:val="24"/>
                <w:sz w:val="24"/>
                <w:szCs w:val="24"/>
              </w:rPr>
              <w:t>明確な目標のもと効果的な学習方法が展開されている。</w:t>
            </w:r>
          </w:p>
        </w:tc>
        <w:tc>
          <w:tcPr>
            <w:tcW w:w="700" w:type="dxa"/>
          </w:tcPr>
          <w:p w:rsidR="007E6236" w:rsidRDefault="007E6236"/>
        </w:tc>
      </w:tr>
      <w:tr w:rsidR="00D77B65" w:rsidTr="00E424EB">
        <w:tc>
          <w:tcPr>
            <w:tcW w:w="456" w:type="dxa"/>
            <w:shd w:val="clear" w:color="auto" w:fill="DEEAF6" w:themeFill="accent1" w:themeFillTint="33"/>
          </w:tcPr>
          <w:p w:rsidR="007E6236" w:rsidRPr="007E6236" w:rsidRDefault="007E6236">
            <w:pPr>
              <w:rPr>
                <w:sz w:val="24"/>
                <w:szCs w:val="24"/>
              </w:rPr>
            </w:pPr>
            <w:r w:rsidRPr="007E6236">
              <w:rPr>
                <w:rFonts w:hint="eastAsia"/>
                <w:sz w:val="24"/>
                <w:szCs w:val="24"/>
              </w:rPr>
              <w:t>⑦</w:t>
            </w:r>
          </w:p>
        </w:tc>
        <w:tc>
          <w:tcPr>
            <w:tcW w:w="7338" w:type="dxa"/>
            <w:shd w:val="clear" w:color="auto" w:fill="DEEAF6" w:themeFill="accent1" w:themeFillTint="33"/>
            <w:vAlign w:val="center"/>
          </w:tcPr>
          <w:p w:rsidR="007E6236" w:rsidRPr="007E6236" w:rsidRDefault="007E6236">
            <w:pPr>
              <w:rPr>
                <w:sz w:val="24"/>
                <w:szCs w:val="24"/>
              </w:rPr>
            </w:pPr>
            <w:r w:rsidRPr="00690CF5">
              <w:rPr>
                <w:rFonts w:ascii="Calibri" w:eastAsia="ＭＳ Ｐゴシック" w:hAnsi="Arial" w:cs="Arial"/>
                <w:color w:val="000000" w:themeColor="dark1"/>
                <w:kern w:val="24"/>
                <w:sz w:val="24"/>
                <w:szCs w:val="24"/>
              </w:rPr>
              <w:t>活動を評価し、その成果を確認し改善を加えている。</w:t>
            </w:r>
          </w:p>
        </w:tc>
        <w:tc>
          <w:tcPr>
            <w:tcW w:w="700" w:type="dxa"/>
            <w:shd w:val="clear" w:color="auto" w:fill="DEEAF6" w:themeFill="accent1" w:themeFillTint="33"/>
          </w:tcPr>
          <w:p w:rsidR="007E6236" w:rsidRDefault="007E6236"/>
        </w:tc>
      </w:tr>
      <w:tr w:rsidR="007E6236" w:rsidTr="00E424EB">
        <w:tc>
          <w:tcPr>
            <w:tcW w:w="456" w:type="dxa"/>
          </w:tcPr>
          <w:p w:rsidR="007E6236" w:rsidRPr="007E6236" w:rsidRDefault="007E6236" w:rsidP="0032714D">
            <w:pPr>
              <w:rPr>
                <w:sz w:val="24"/>
                <w:szCs w:val="24"/>
              </w:rPr>
            </w:pPr>
            <w:r w:rsidRPr="007E6236">
              <w:rPr>
                <w:rFonts w:hint="eastAsia"/>
                <w:sz w:val="24"/>
                <w:szCs w:val="24"/>
              </w:rPr>
              <w:t>⑧</w:t>
            </w:r>
          </w:p>
        </w:tc>
        <w:tc>
          <w:tcPr>
            <w:tcW w:w="7338" w:type="dxa"/>
            <w:vAlign w:val="center"/>
          </w:tcPr>
          <w:p w:rsidR="007E6236" w:rsidRPr="007E6236" w:rsidRDefault="007E6236" w:rsidP="0032714D">
            <w:pPr>
              <w:rPr>
                <w:sz w:val="24"/>
                <w:szCs w:val="24"/>
              </w:rPr>
            </w:pPr>
            <w:r w:rsidRPr="00690CF5">
              <w:rPr>
                <w:rFonts w:ascii="Calibri" w:eastAsia="ＭＳ Ｐゴシック" w:hAnsi="Arial" w:cs="Arial"/>
                <w:color w:val="000000" w:themeColor="dark1"/>
                <w:kern w:val="24"/>
                <w:sz w:val="24"/>
                <w:szCs w:val="24"/>
              </w:rPr>
              <w:t>活動の状況が地域や保護者に発信されている。</w:t>
            </w:r>
            <w:bookmarkStart w:id="0" w:name="_GoBack"/>
            <w:bookmarkEnd w:id="0"/>
          </w:p>
        </w:tc>
        <w:tc>
          <w:tcPr>
            <w:tcW w:w="700" w:type="dxa"/>
          </w:tcPr>
          <w:p w:rsidR="007E6236" w:rsidRDefault="007E6236" w:rsidP="0032714D"/>
        </w:tc>
      </w:tr>
      <w:tr w:rsidR="007E6236" w:rsidTr="00D77B65">
        <w:tc>
          <w:tcPr>
            <w:tcW w:w="456" w:type="dxa"/>
            <w:shd w:val="clear" w:color="auto" w:fill="DEEAF6" w:themeFill="accent1" w:themeFillTint="33"/>
          </w:tcPr>
          <w:p w:rsidR="007E6236" w:rsidRPr="007E6236" w:rsidRDefault="007E6236" w:rsidP="0032714D">
            <w:pPr>
              <w:rPr>
                <w:sz w:val="24"/>
                <w:szCs w:val="24"/>
              </w:rPr>
            </w:pPr>
            <w:r w:rsidRPr="007E6236">
              <w:rPr>
                <w:rFonts w:hint="eastAsia"/>
                <w:sz w:val="24"/>
                <w:szCs w:val="24"/>
              </w:rPr>
              <w:t>⑨</w:t>
            </w:r>
          </w:p>
        </w:tc>
        <w:tc>
          <w:tcPr>
            <w:tcW w:w="7338" w:type="dxa"/>
            <w:shd w:val="clear" w:color="auto" w:fill="DEEAF6" w:themeFill="accent1" w:themeFillTint="33"/>
          </w:tcPr>
          <w:p w:rsidR="007E6236" w:rsidRPr="007E6236" w:rsidRDefault="007E6236" w:rsidP="0032714D">
            <w:pPr>
              <w:rPr>
                <w:sz w:val="24"/>
                <w:szCs w:val="24"/>
              </w:rPr>
            </w:pPr>
            <w:r w:rsidRPr="00690CF5">
              <w:rPr>
                <w:rFonts w:ascii="Calibri" w:eastAsia="ＭＳ Ｐゴシック" w:hAnsi="Arial" w:cs="Arial"/>
                <w:color w:val="000000" w:themeColor="dark1"/>
                <w:kern w:val="24"/>
                <w:sz w:val="24"/>
                <w:szCs w:val="24"/>
              </w:rPr>
              <w:t>計画書や報告書、人材リスト等、次年度につながる資料が累積されている。</w:t>
            </w:r>
          </w:p>
        </w:tc>
        <w:tc>
          <w:tcPr>
            <w:tcW w:w="700" w:type="dxa"/>
            <w:shd w:val="clear" w:color="auto" w:fill="DEEAF6" w:themeFill="accent1" w:themeFillTint="33"/>
          </w:tcPr>
          <w:p w:rsidR="007E6236" w:rsidRDefault="007E6236" w:rsidP="0032714D"/>
        </w:tc>
      </w:tr>
      <w:tr w:rsidR="007E6236" w:rsidTr="007E6236">
        <w:tc>
          <w:tcPr>
            <w:tcW w:w="456" w:type="dxa"/>
          </w:tcPr>
          <w:p w:rsidR="007E6236" w:rsidRPr="007E6236" w:rsidRDefault="007E6236" w:rsidP="0032714D">
            <w:pPr>
              <w:rPr>
                <w:sz w:val="24"/>
                <w:szCs w:val="24"/>
              </w:rPr>
            </w:pPr>
            <w:r w:rsidRPr="007E6236">
              <w:rPr>
                <w:rFonts w:hint="eastAsia"/>
                <w:sz w:val="24"/>
                <w:szCs w:val="24"/>
              </w:rPr>
              <w:t>⑩</w:t>
            </w:r>
          </w:p>
        </w:tc>
        <w:tc>
          <w:tcPr>
            <w:tcW w:w="7338" w:type="dxa"/>
          </w:tcPr>
          <w:p w:rsidR="007E6236" w:rsidRPr="007E6236" w:rsidRDefault="007E6236" w:rsidP="0032714D">
            <w:pPr>
              <w:rPr>
                <w:sz w:val="24"/>
                <w:szCs w:val="24"/>
              </w:rPr>
            </w:pPr>
            <w:r w:rsidRPr="00690CF5">
              <w:rPr>
                <w:rFonts w:ascii="Calibri" w:eastAsia="ＭＳ Ｐゴシック" w:hAnsi="Arial" w:cs="Arial"/>
                <w:color w:val="000000" w:themeColor="dark1"/>
                <w:kern w:val="24"/>
                <w:sz w:val="24"/>
                <w:szCs w:val="24"/>
              </w:rPr>
              <w:t>活動を通し、めざす子ども像に近づき地域住民のつながりが生まれている。</w:t>
            </w:r>
          </w:p>
        </w:tc>
        <w:tc>
          <w:tcPr>
            <w:tcW w:w="700" w:type="dxa"/>
          </w:tcPr>
          <w:p w:rsidR="007E6236" w:rsidRDefault="007E6236" w:rsidP="0032714D"/>
        </w:tc>
      </w:tr>
      <w:tr w:rsidR="007E6236" w:rsidTr="00D77B65">
        <w:tc>
          <w:tcPr>
            <w:tcW w:w="456" w:type="dxa"/>
            <w:shd w:val="clear" w:color="auto" w:fill="DEEAF6" w:themeFill="accent1" w:themeFillTint="33"/>
          </w:tcPr>
          <w:p w:rsidR="007E6236" w:rsidRPr="007E6236" w:rsidRDefault="007E6236" w:rsidP="0032714D">
            <w:pPr>
              <w:rPr>
                <w:sz w:val="24"/>
                <w:szCs w:val="24"/>
              </w:rPr>
            </w:pPr>
          </w:p>
        </w:tc>
        <w:tc>
          <w:tcPr>
            <w:tcW w:w="7338" w:type="dxa"/>
            <w:shd w:val="clear" w:color="auto" w:fill="DEEAF6" w:themeFill="accent1" w:themeFillTint="33"/>
          </w:tcPr>
          <w:p w:rsidR="007E6236" w:rsidRPr="007E6236" w:rsidRDefault="007E6236" w:rsidP="0032714D">
            <w:pPr>
              <w:rPr>
                <w:sz w:val="24"/>
                <w:szCs w:val="24"/>
              </w:rPr>
            </w:pPr>
          </w:p>
        </w:tc>
        <w:tc>
          <w:tcPr>
            <w:tcW w:w="700" w:type="dxa"/>
            <w:shd w:val="clear" w:color="auto" w:fill="DEEAF6" w:themeFill="accent1" w:themeFillTint="33"/>
          </w:tcPr>
          <w:p w:rsidR="007E6236" w:rsidRDefault="007E6236" w:rsidP="0032714D"/>
        </w:tc>
      </w:tr>
    </w:tbl>
    <w:p w:rsidR="007E6236" w:rsidRPr="007E6236" w:rsidRDefault="007E6236" w:rsidP="007E6236">
      <w:pPr>
        <w:jc w:val="right"/>
        <w:rPr>
          <w:sz w:val="48"/>
          <w:szCs w:val="48"/>
        </w:rPr>
      </w:pPr>
      <w:r w:rsidRPr="007E6236">
        <w:rPr>
          <w:rFonts w:hint="eastAsia"/>
          <w:sz w:val="48"/>
          <w:szCs w:val="48"/>
        </w:rPr>
        <w:t>氏名（</w:t>
      </w:r>
      <w:r>
        <w:rPr>
          <w:rFonts w:hint="eastAsia"/>
          <w:sz w:val="48"/>
          <w:szCs w:val="48"/>
        </w:rPr>
        <w:t xml:space="preserve">　　　　　　　　</w:t>
      </w:r>
      <w:r w:rsidRPr="007E6236">
        <w:rPr>
          <w:rFonts w:hint="eastAsia"/>
          <w:sz w:val="48"/>
          <w:szCs w:val="48"/>
        </w:rPr>
        <w:t>）</w:t>
      </w:r>
    </w:p>
    <w:sectPr w:rsidR="007E6236" w:rsidRPr="007E623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7A3" w:rsidRDefault="00CC37A3" w:rsidP="00E424EB">
      <w:r>
        <w:separator/>
      </w:r>
    </w:p>
  </w:endnote>
  <w:endnote w:type="continuationSeparator" w:id="0">
    <w:p w:rsidR="00CC37A3" w:rsidRDefault="00CC37A3" w:rsidP="00E42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7A3" w:rsidRDefault="00CC37A3" w:rsidP="00E424EB">
      <w:r>
        <w:separator/>
      </w:r>
    </w:p>
  </w:footnote>
  <w:footnote w:type="continuationSeparator" w:id="0">
    <w:p w:rsidR="00CC37A3" w:rsidRDefault="00CC37A3" w:rsidP="00E424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236"/>
    <w:rsid w:val="007E6236"/>
    <w:rsid w:val="00CC37A3"/>
    <w:rsid w:val="00CF06F6"/>
    <w:rsid w:val="00D77B65"/>
    <w:rsid w:val="00E42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E15E3B8-2FC8-4D0F-AC02-B735B3DD6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6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24EB"/>
    <w:pPr>
      <w:tabs>
        <w:tab w:val="center" w:pos="4252"/>
        <w:tab w:val="right" w:pos="8504"/>
      </w:tabs>
      <w:snapToGrid w:val="0"/>
    </w:pPr>
  </w:style>
  <w:style w:type="character" w:customStyle="1" w:styleId="a5">
    <w:name w:val="ヘッダー (文字)"/>
    <w:basedOn w:val="a0"/>
    <w:link w:val="a4"/>
    <w:uiPriority w:val="99"/>
    <w:rsid w:val="00E424EB"/>
  </w:style>
  <w:style w:type="paragraph" w:styleId="a6">
    <w:name w:val="footer"/>
    <w:basedOn w:val="a"/>
    <w:link w:val="a7"/>
    <w:uiPriority w:val="99"/>
    <w:unhideWhenUsed/>
    <w:rsid w:val="00E424EB"/>
    <w:pPr>
      <w:tabs>
        <w:tab w:val="center" w:pos="4252"/>
        <w:tab w:val="right" w:pos="8504"/>
      </w:tabs>
      <w:snapToGrid w:val="0"/>
    </w:pPr>
  </w:style>
  <w:style w:type="character" w:customStyle="1" w:styleId="a7">
    <w:name w:val="フッター (文字)"/>
    <w:basedOn w:val="a0"/>
    <w:link w:val="a6"/>
    <w:uiPriority w:val="99"/>
    <w:rsid w:val="00E42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角田 健太郎</dc:creator>
  <cp:keywords/>
  <dc:description/>
  <cp:lastModifiedBy>角田 健太郎</cp:lastModifiedBy>
  <cp:revision>2</cp:revision>
  <cp:lastPrinted>2024-04-10T23:51:00Z</cp:lastPrinted>
  <dcterms:created xsi:type="dcterms:W3CDTF">2024-04-09T00:58:00Z</dcterms:created>
  <dcterms:modified xsi:type="dcterms:W3CDTF">2024-04-10T23:56:00Z</dcterms:modified>
</cp:coreProperties>
</file>